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59" w:rsidRDefault="0044098A">
      <w:pPr>
        <w:spacing w:after="0" w:line="326" w:lineRule="auto"/>
        <w:ind w:left="1665" w:right="1019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факультеті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5E59" w:rsidRDefault="0044098A">
      <w:pPr>
        <w:spacing w:after="2"/>
        <w:ind w:right="113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Қаржы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кеден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экологиялық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кафедрасы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5E59" w:rsidRDefault="0044098A">
      <w:pPr>
        <w:spacing w:after="63"/>
        <w:ind w:left="69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65E59" w:rsidRDefault="0044098A">
      <w:pPr>
        <w:spacing w:after="88"/>
        <w:ind w:left="1665" w:right="108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СИЛЛАБУС </w:t>
      </w:r>
    </w:p>
    <w:p w:rsidR="00D65E59" w:rsidRDefault="0044098A">
      <w:pPr>
        <w:spacing w:after="0" w:line="326" w:lineRule="auto"/>
        <w:ind w:left="1665" w:right="10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салық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күзгі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3, 5, 7 семестр 2019-2020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5E59" w:rsidRDefault="0044098A">
      <w:pPr>
        <w:spacing w:after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5E59" w:rsidRDefault="0044098A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Курс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мәлімет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05" w:type="dxa"/>
        <w:tblInd w:w="-566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984"/>
        <w:gridCol w:w="1913"/>
        <w:gridCol w:w="708"/>
        <w:gridCol w:w="946"/>
        <w:gridCol w:w="970"/>
        <w:gridCol w:w="919"/>
        <w:gridCol w:w="1207"/>
        <w:gridCol w:w="1558"/>
      </w:tblGrid>
      <w:tr w:rsidR="00D65E59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коды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саны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Кредит саны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СОӨЖ </w:t>
            </w:r>
          </w:p>
        </w:tc>
      </w:tr>
      <w:tr w:rsidR="00D65E5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Зертх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</w:tr>
      <w:tr w:rsidR="00D65E59">
        <w:trPr>
          <w:trHeight w:val="1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Pr="0044098A" w:rsidRDefault="0044098A">
            <w:pPr>
              <w:spacing w:after="0"/>
              <w:ind w:right="62"/>
              <w:jc w:val="center"/>
              <w:rPr>
                <w:lang w:val="en-US"/>
              </w:rPr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122,  </w:t>
            </w:r>
          </w:p>
          <w:p w:rsidR="00D65E59" w:rsidRPr="0044098A" w:rsidRDefault="0044098A">
            <w:pPr>
              <w:spacing w:after="0"/>
              <w:ind w:right="62"/>
              <w:jc w:val="center"/>
              <w:rPr>
                <w:lang w:val="en-US"/>
              </w:rPr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NPRK 2218, </w:t>
            </w:r>
          </w:p>
          <w:p w:rsidR="00D65E59" w:rsidRPr="0044098A" w:rsidRDefault="0044098A">
            <w:pPr>
              <w:spacing w:after="0"/>
              <w:ind w:right="65"/>
              <w:jc w:val="center"/>
              <w:rPr>
                <w:lang w:val="en-US"/>
              </w:rPr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NPRK3218, </w:t>
            </w:r>
          </w:p>
          <w:p w:rsidR="00D65E59" w:rsidRPr="0044098A" w:rsidRDefault="0044098A">
            <w:pPr>
              <w:spacing w:after="0"/>
              <w:ind w:right="65"/>
              <w:jc w:val="center"/>
              <w:rPr>
                <w:lang w:val="en-US"/>
              </w:rPr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NPRK3422, </w:t>
            </w:r>
          </w:p>
          <w:p w:rsidR="00D65E59" w:rsidRPr="0044098A" w:rsidRDefault="0044098A">
            <w:pPr>
              <w:spacing w:after="0"/>
              <w:ind w:right="62"/>
              <w:jc w:val="center"/>
              <w:rPr>
                <w:lang w:val="en-US"/>
              </w:rPr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NPRK4422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ТК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D65E59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8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" w:right="59" w:firstLine="34"/>
              <w:jc w:val="both"/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kk-KZ"/>
              </w:rPr>
              <w:t>Умбетов Мадияр Нурдавлетович – аға оқытушы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 w:rsidP="0044098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сағаттар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5E59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377"/>
            </w:pPr>
            <w:r w:rsidRPr="0044098A">
              <w:rPr>
                <w:rFonts w:ascii="Times New Roman" w:eastAsia="Times New Roman" w:hAnsi="Times New Roman" w:cs="Times New Roman"/>
                <w:sz w:val="24"/>
                <w:lang w:val="en-US"/>
              </w:rPr>
              <w:t>Madiyar.qazaq@gmail.com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</w:tr>
      <w:tr w:rsidR="00D65E59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Телефоны 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>
            <w:pPr>
              <w:spacing w:after="0"/>
              <w:ind w:left="2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2" w:right="8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Pr="0044098A" w:rsidRDefault="0044098A" w:rsidP="0044098A">
            <w:pPr>
              <w:spacing w:after="0"/>
              <w:ind w:right="6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403</w:t>
            </w:r>
          </w:p>
        </w:tc>
      </w:tr>
    </w:tbl>
    <w:p w:rsidR="00D65E59" w:rsidRDefault="0044098A">
      <w:pPr>
        <w:spacing w:after="0"/>
        <w:ind w:left="6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5" w:type="dxa"/>
        <w:tblInd w:w="-566" w:type="dxa"/>
        <w:tblCellMar>
          <w:top w:w="56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985"/>
      </w:tblGrid>
      <w:tr w:rsidR="00D65E59">
        <w:trPr>
          <w:trHeight w:val="801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80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презентациясы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46" w:line="297" w:lineRule="auto"/>
              <w:ind w:righ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ғылыми-теориалық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ҚР-ң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туралы,Қ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функцияларын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өкілеттіліктерін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  <w:p w:rsidR="00D65E59" w:rsidRDefault="0044098A">
            <w:pPr>
              <w:spacing w:after="77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numPr>
                <w:ilvl w:val="0"/>
                <w:numId w:val="1"/>
              </w:numPr>
              <w:spacing w:after="0" w:line="32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65E59" w:rsidRDefault="0044098A">
            <w:pPr>
              <w:tabs>
                <w:tab w:val="center" w:pos="1535"/>
                <w:tab w:val="center" w:pos="2427"/>
                <w:tab w:val="center" w:pos="3235"/>
                <w:tab w:val="center" w:pos="4339"/>
                <w:tab w:val="center" w:pos="5503"/>
                <w:tab w:val="center" w:pos="6378"/>
                <w:tab w:val="right" w:pos="7879"/>
              </w:tabs>
              <w:spacing w:after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7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өкілеттіктері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функцияларын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D65E59" w:rsidRDefault="0044098A">
            <w:pPr>
              <w:numPr>
                <w:ilvl w:val="0"/>
                <w:numId w:val="1"/>
              </w:numPr>
              <w:spacing w:after="54" w:line="283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әпнін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функциялары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қағидаларын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салаларынмен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арақатынасының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кешенін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нақ</w:t>
            </w:r>
            <w:r>
              <w:rPr>
                <w:rFonts w:ascii="Times New Roman" w:eastAsia="Times New Roman" w:hAnsi="Times New Roman" w:cs="Times New Roman"/>
                <w:sz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олардңы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сыныпталу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тәжірибеде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65E59" w:rsidRDefault="0044098A">
            <w:pPr>
              <w:numPr>
                <w:ilvl w:val="0"/>
                <w:numId w:val="1"/>
              </w:numPr>
              <w:spacing w:after="0" w:line="32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арақ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өкілеттіктерін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D65E59" w:rsidRDefault="0044098A">
            <w:pPr>
              <w:numPr>
                <w:ilvl w:val="0"/>
                <w:numId w:val="1"/>
              </w:numPr>
              <w:spacing w:after="36" w:line="29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жарытуға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65E59" w:rsidRDefault="0044098A">
            <w:pPr>
              <w:numPr>
                <w:ilvl w:val="0"/>
                <w:numId w:val="1"/>
              </w:num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мемлекеттердңі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үтрінде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көзқарасын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қисынды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үтрде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дәлелдеу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5E59" w:rsidRDefault="00D65E59">
      <w:pPr>
        <w:spacing w:after="0"/>
        <w:ind w:left="-1702" w:right="10198"/>
      </w:pPr>
    </w:p>
    <w:tbl>
      <w:tblPr>
        <w:tblStyle w:val="TableGrid"/>
        <w:tblW w:w="10205" w:type="dxa"/>
        <w:tblInd w:w="-566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20"/>
        <w:gridCol w:w="7985"/>
      </w:tblGrid>
      <w:tr w:rsidR="00D65E59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талқылап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туындайтын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дауларды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тұжырымдай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D65E59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Пререквизиттер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ҚР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қаржылық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ҚР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D65E59">
        <w:trPr>
          <w:trHeight w:val="28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Постреквизиттер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ҚР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қылмыстық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ҚР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азаматтық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D65E59">
        <w:trPr>
          <w:trHeight w:val="55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Ақпараттық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24" w:lineRule="auto"/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1.Сактаганова И.С.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Алматы,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Эвро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баспасы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2016.-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242 б.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С.Т. Налоговое право Республики Казахстан. Общ</w:t>
            </w:r>
            <w:r>
              <w:rPr>
                <w:rFonts w:ascii="Times New Roman" w:eastAsia="Times New Roman" w:hAnsi="Times New Roman" w:cs="Times New Roman"/>
                <w:sz w:val="24"/>
              </w:rPr>
              <w:t>ая и особенная части: Учебное пособие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С.Т.Алибеков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- Алматы: Юридическая литература, 2008. - 210 с. </w:t>
            </w:r>
          </w:p>
          <w:p w:rsidR="00D65E59" w:rsidRDefault="0044098A">
            <w:pPr>
              <w:numPr>
                <w:ilvl w:val="0"/>
                <w:numId w:val="2"/>
              </w:numPr>
              <w:spacing w:after="3" w:line="323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Найманбаев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Өңделіп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2- бас. - Алматы: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жарғы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2006. - 408 бет. </w:t>
            </w:r>
          </w:p>
          <w:p w:rsidR="00D65E59" w:rsidRDefault="0044098A">
            <w:pPr>
              <w:numPr>
                <w:ilvl w:val="0"/>
                <w:numId w:val="2"/>
              </w:numPr>
              <w:spacing w:after="2" w:line="32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Худяков А.И. Налоговое право Республики 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захстан. Общая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часть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Учебник. - Алматы: НОРМА-К, 2003. </w:t>
            </w:r>
          </w:p>
          <w:p w:rsidR="00D65E59" w:rsidRDefault="0044098A">
            <w:pPr>
              <w:numPr>
                <w:ilvl w:val="0"/>
                <w:numId w:val="2"/>
              </w:numPr>
              <w:spacing w:after="11" w:line="30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Порохов Е.В. Теория и практика налогового права Республики Казахстан: основные проблемы. - Алматы: ТОО "Налоговый эксперт", 2009. - 456 с. </w:t>
            </w:r>
          </w:p>
          <w:p w:rsidR="00D65E59" w:rsidRDefault="0044098A">
            <w:pPr>
              <w:spacing w:after="0" w:line="32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6.Налоговое право учебник для вузов. //Отв.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С.Пепеляк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изд-во Альпина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Паблишер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М.: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2017.-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796 с. </w:t>
            </w:r>
          </w:p>
          <w:p w:rsidR="00D65E59" w:rsidRDefault="0044098A">
            <w:pPr>
              <w:spacing w:after="18" w:line="296" w:lineRule="auto"/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7. 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бюджетке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төленетін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кодксі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желтоқсандағы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 121-VI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Кодексі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өзгертулер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толықтыруларымен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эл.база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«adilet.kz», 2019 ж. </w:t>
            </w:r>
          </w:p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"univer.kaznu.kz."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УМКД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бөлімінде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</w:p>
        </w:tc>
      </w:tr>
      <w:tr w:rsidR="00D65E59">
        <w:trPr>
          <w:trHeight w:val="69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263" w:lineRule="auto"/>
              <w:ind w:right="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моральдыэтикалық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құндылықтары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контекстіндегі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мінез-құлық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</w:p>
          <w:p w:rsidR="00D65E59" w:rsidRDefault="0044098A">
            <w:pPr>
              <w:numPr>
                <w:ilvl w:val="0"/>
                <w:numId w:val="3"/>
              </w:numPr>
              <w:spacing w:after="0" w:line="328" w:lineRule="auto"/>
              <w:ind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кешігуге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ескертусіз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кешігу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D65E59" w:rsidRDefault="0044098A">
            <w:pPr>
              <w:spacing w:after="73" w:line="264" w:lineRule="auto"/>
              <w:ind w:right="5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жобалардың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емтихандардың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(СОӨЖ,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жобалық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бұзылған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шегере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бғаала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баллдың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D65E59" w:rsidRDefault="0044098A">
            <w:pPr>
              <w:numPr>
                <w:ilvl w:val="0"/>
                <w:numId w:val="3"/>
              </w:numPr>
              <w:spacing w:after="50" w:line="283" w:lineRule="auto"/>
              <w:ind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аудиториялық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дайындалу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талқыланатын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аудиториялық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аяқталуы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numPr>
                <w:ilvl w:val="0"/>
                <w:numId w:val="3"/>
              </w:numPr>
              <w:spacing w:after="6" w:line="320" w:lineRule="auto"/>
              <w:ind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көрсетілгендей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семестр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numPr>
                <w:ilvl w:val="0"/>
                <w:numId w:val="3"/>
              </w:numPr>
              <w:spacing w:after="79" w:line="268" w:lineRule="auto"/>
              <w:ind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Көптеге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дайындалып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бөлімдеріне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numPr>
                <w:ilvl w:val="0"/>
                <w:numId w:val="4"/>
              </w:numPr>
              <w:spacing w:after="0" w:line="33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сабқатары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СОӨЖ, СӨЖ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numPr>
                <w:ilvl w:val="0"/>
                <w:numId w:val="4"/>
              </w:numPr>
              <w:spacing w:after="0" w:line="31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қыбалаудың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кезеңдерінде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плагиат,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әділетсіздікке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құрметсіз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ҚазҰ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кодексі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D65E59" w:rsidRDefault="0044098A">
            <w:pPr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кuanalieva.guldanakz@mail.ru, 377 33 36 (12-57) телефоны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D65E59">
        <w:trPr>
          <w:trHeight w:val="83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аттестациялау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құзіреттіліктің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</w:tr>
      <w:tr w:rsidR="00D65E59">
        <w:trPr>
          <w:trHeight w:val="139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Суммативті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дәрісханадағы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СӨЖ,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емтихан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көшіру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сыбырласуға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ситуациялқы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емтихан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</w:t>
            </w:r>
            <w:r>
              <w:rPr>
                <w:rFonts w:ascii="Times New Roman" w:eastAsia="Times New Roman" w:hAnsi="Times New Roman" w:cs="Times New Roman"/>
                <w:sz w:val="24"/>
              </w:rPr>
              <w:t>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D65E59" w:rsidRDefault="0044098A">
      <w:pPr>
        <w:spacing w:after="92"/>
        <w:ind w:left="1997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курсы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мазмұнын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асыру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күнтізбесі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D65E59" w:rsidRDefault="0044098A">
      <w:pPr>
        <w:spacing w:after="3"/>
        <w:ind w:left="218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ПӘННІҢ ҚҰРЫЛЫМЫ МЕН МАЗМҰНЫ </w:t>
      </w:r>
    </w:p>
    <w:tbl>
      <w:tblPr>
        <w:tblStyle w:val="TableGrid"/>
        <w:tblW w:w="10142" w:type="dxa"/>
        <w:tblInd w:w="-535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02"/>
        <w:gridCol w:w="6093"/>
        <w:gridCol w:w="1274"/>
        <w:gridCol w:w="1673"/>
      </w:tblGrid>
      <w:tr w:rsidR="00D65E59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СӨЖ)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саны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 </w:t>
            </w:r>
          </w:p>
        </w:tc>
      </w:tr>
      <w:tr w:rsidR="00D65E59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Модуль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мемлекеттің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5E59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54" w:line="283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Заманауи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тіршілігіндегі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құрамының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ҚР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құрамының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65E59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65E59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2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 w:line="32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ҚР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ретінде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СОӨЖ.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Мемлекеттің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түсінігі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функциялары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міндеттері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5E59">
        <w:trPr>
          <w:trHeight w:val="27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2" w:line="326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Салықтық-</w:t>
            </w:r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D65E59" w:rsidRDefault="0044098A">
            <w:pPr>
              <w:spacing w:after="55" w:line="282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тоқтатылу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 w:line="33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СОӨЖ.  1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</w:p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Республикасында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жіктелуі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D65E59">
        <w:trPr>
          <w:trHeight w:val="13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2" w:line="327" w:lineRule="auto"/>
              <w:ind w:right="580" w:firstLine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төлеушілер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міндеттемесі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төлеушілер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міндеттемесінің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СОӨЖ.  2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D65E59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АБ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  <w:tr w:rsidR="00D65E59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1" w:line="327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басқарудың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8" w:line="326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СОӨЖ.  3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қатынастардың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субъектілерінің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жағдайы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65E59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65E59">
        <w:trPr>
          <w:trHeight w:val="5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firstLine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 СОӨЖ.  3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D65E59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D65E59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Модуль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Республикасындағы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5E59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87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Корпоративтік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84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табиғаты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85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Корпоративтік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65E59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9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30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Экспортқа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59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Экспортқа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65E59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31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қойнауын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ind w:left="17"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қойнауын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5E59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колоквиум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D65E59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АБ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  <w:tr w:rsidR="00D65E59">
        <w:trPr>
          <w:trHeight w:val="19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32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8" w:line="331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СОӨЖ. 4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міндеттемені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тоқтату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5E59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33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режимдерінің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5" w:line="330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режимдерінің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СОӨЖ. 4 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D65E59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58" w:line="285" w:lineRule="auto"/>
              <w:ind w:left="17"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тіркегеүнші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төлеудің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тіркегені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төлеудің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5E59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 w:line="32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мәжбүрлеу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жауапкершілік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мәжбүрлеу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жауапкершілік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65E59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65E59" w:rsidRDefault="0044098A">
            <w:pPr>
              <w:spacing w:after="84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:rsidR="00D65E59" w:rsidRDefault="0044098A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5E59" w:rsidRDefault="0044098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65E59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колоквиум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D65E59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АБ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  <w:tr w:rsidR="00D65E59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Емтихан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59" w:rsidRDefault="0044098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</w:tbl>
    <w:p w:rsidR="00D65E59" w:rsidRDefault="0044098A">
      <w:pPr>
        <w:spacing w:after="58"/>
      </w:pPr>
      <w:r>
        <w:rPr>
          <w:rFonts w:ascii="Times New Roman" w:eastAsia="Times New Roman" w:hAnsi="Times New Roman" w:cs="Times New Roman"/>
        </w:rPr>
        <w:t xml:space="preserve"> </w:t>
      </w:r>
    </w:p>
    <w:p w:rsidR="00D65E59" w:rsidRDefault="0044098A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8496"/>
        </w:tabs>
        <w:spacing w:after="56"/>
        <w:ind w:left="-15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Дәрісер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Қуаналиева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Г.А. </w:t>
      </w:r>
    </w:p>
    <w:p w:rsidR="00D65E59" w:rsidRDefault="0044098A">
      <w:pPr>
        <w:tabs>
          <w:tab w:val="center" w:pos="2832"/>
          <w:tab w:val="center" w:pos="3540"/>
          <w:tab w:val="center" w:pos="4248"/>
          <w:tab w:val="right" w:pos="8496"/>
        </w:tabs>
        <w:spacing w:after="68"/>
        <w:ind w:left="-1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Кафедра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Жатқанбаева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А.Е. </w:t>
      </w:r>
    </w:p>
    <w:p w:rsidR="00D65E59" w:rsidRDefault="0044098A">
      <w:pPr>
        <w:tabs>
          <w:tab w:val="center" w:pos="3540"/>
          <w:tab w:val="center" w:pos="4248"/>
          <w:tab w:val="center" w:pos="4956"/>
          <w:tab w:val="center" w:pos="6923"/>
        </w:tabs>
        <w:spacing w:after="3"/>
        <w:ind w:left="-15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бюро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төрайымы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Урисбаева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А.А. </w:t>
      </w:r>
    </w:p>
    <w:p w:rsidR="00D65E59" w:rsidRDefault="0044098A">
      <w:pPr>
        <w:spacing w:after="0"/>
        <w:ind w:left="453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65E59">
      <w:pgSz w:w="11906" w:h="16838"/>
      <w:pgMar w:top="1100" w:right="1709" w:bottom="12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26A"/>
    <w:multiLevelType w:val="hybridMultilevel"/>
    <w:tmpl w:val="51327A30"/>
    <w:lvl w:ilvl="0" w:tplc="FB6E3F2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69F2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8BF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477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2C79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A2D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68E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0903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0C91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00A26"/>
    <w:multiLevelType w:val="hybridMultilevel"/>
    <w:tmpl w:val="F6666894"/>
    <w:lvl w:ilvl="0" w:tplc="4EDE1A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2E6F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6959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01D9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CDD7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67B2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CE37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C36A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60D9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F5D4D"/>
    <w:multiLevelType w:val="hybridMultilevel"/>
    <w:tmpl w:val="41BACF86"/>
    <w:lvl w:ilvl="0" w:tplc="D4D459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A56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09A2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C6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80F7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AB95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B5B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E5F3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E0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C7DE0"/>
    <w:multiLevelType w:val="hybridMultilevel"/>
    <w:tmpl w:val="C194D816"/>
    <w:lvl w:ilvl="0" w:tplc="489CD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8220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37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A426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83DB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06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ECF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A42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47E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59"/>
    <w:rsid w:val="0044098A"/>
    <w:rsid w:val="00D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6CFE"/>
  <w15:docId w15:val="{56B802AF-9DED-41B9-89FB-035CF24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Пользователь</cp:lastModifiedBy>
  <cp:revision>3</cp:revision>
  <dcterms:created xsi:type="dcterms:W3CDTF">2020-01-21T18:32:00Z</dcterms:created>
  <dcterms:modified xsi:type="dcterms:W3CDTF">2020-01-21T18:32:00Z</dcterms:modified>
</cp:coreProperties>
</file>